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BF84" w14:textId="0C7D999E" w:rsidR="004F20B2" w:rsidRDefault="0020654C">
      <w:r>
        <w:tab/>
      </w:r>
      <w:r w:rsidR="00777A1C">
        <w:t>There have been many dose calculation systems introduced over the years to address planar and volume brachytherapy implants.  These systems present rules for the source distribution</w:t>
      </w:r>
      <w:r w:rsidR="00691BF7">
        <w:t>,</w:t>
      </w:r>
      <w:r w:rsidR="00777A1C">
        <w:t xml:space="preserve"> the optimal source activity, and the dose specification.</w:t>
      </w:r>
      <w:proofErr w:type="gramStart"/>
      <w:r w:rsidR="00777A1C">
        <w:rPr>
          <w:vertAlign w:val="superscript"/>
        </w:rPr>
        <w:t>1</w:t>
      </w:r>
      <w:r w:rsidR="00745ECD">
        <w:t xml:space="preserve">  The</w:t>
      </w:r>
      <w:proofErr w:type="gramEnd"/>
      <w:r w:rsidR="00745ECD">
        <w:t xml:space="preserve"> three main</w:t>
      </w:r>
      <w:r w:rsidR="00C2138A">
        <w:t xml:space="preserve"> systems are Manchester (Paterson-Parker)</w:t>
      </w:r>
      <w:r w:rsidR="00A525C2">
        <w:t xml:space="preserve">, Paris, and </w:t>
      </w:r>
      <w:proofErr w:type="spellStart"/>
      <w:r w:rsidR="00A525C2">
        <w:t>Quimby</w:t>
      </w:r>
      <w:proofErr w:type="spellEnd"/>
      <w:r w:rsidR="00A525C2">
        <w:t>.</w:t>
      </w:r>
      <w:r w:rsidR="000F7315">
        <w:t xml:space="preserve">  I </w:t>
      </w:r>
      <w:r w:rsidR="008D02FF">
        <w:t>have chosen</w:t>
      </w:r>
      <w:r w:rsidR="00F64A21">
        <w:t xml:space="preserve"> </w:t>
      </w:r>
      <w:r w:rsidR="000F7315">
        <w:t xml:space="preserve">the </w:t>
      </w:r>
      <w:proofErr w:type="spellStart"/>
      <w:r w:rsidR="000F7315">
        <w:t>Quimby</w:t>
      </w:r>
      <w:proofErr w:type="spellEnd"/>
      <w:r w:rsidR="000F7315">
        <w:t xml:space="preserve"> system for this discussion.</w:t>
      </w:r>
    </w:p>
    <w:p w14:paraId="1A082487" w14:textId="3E669C23" w:rsidR="00513A7A" w:rsidRDefault="00436A60" w:rsidP="00FC2785">
      <w:r>
        <w:tab/>
      </w:r>
      <w:r w:rsidR="00DB1010">
        <w:t xml:space="preserve">The </w:t>
      </w:r>
      <w:proofErr w:type="spellStart"/>
      <w:r w:rsidR="00DB1010">
        <w:t>Quimby</w:t>
      </w:r>
      <w:proofErr w:type="spellEnd"/>
      <w:r w:rsidR="00DB1010">
        <w:t xml:space="preserve"> system is named after Edith </w:t>
      </w:r>
      <w:proofErr w:type="spellStart"/>
      <w:r w:rsidR="00DB1010">
        <w:t>Quimby</w:t>
      </w:r>
      <w:proofErr w:type="spellEnd"/>
      <w:r w:rsidR="00DB1010">
        <w:t>, who published the first paper on the system in 1932.</w:t>
      </w:r>
      <w:r w:rsidR="00DB1010">
        <w:rPr>
          <w:vertAlign w:val="superscript"/>
        </w:rPr>
        <w:t>1</w:t>
      </w:r>
      <w:r w:rsidR="00DB1010">
        <w:t xml:space="preserve"> </w:t>
      </w:r>
      <w:r w:rsidR="00F46ED3">
        <w:t xml:space="preserve">Ra-226 </w:t>
      </w:r>
      <w:r w:rsidR="000D6557">
        <w:t>was the most commonly used isotope for brachytherapy in the 1930</w:t>
      </w:r>
      <w:r w:rsidR="008611FE">
        <w:t>s.  Sources of equal linear activity are uniformly spaced throughout the implant, resulting in a non-uniform dose distribution.</w:t>
      </w:r>
      <w:r w:rsidR="008611FE">
        <w:rPr>
          <w:vertAlign w:val="superscript"/>
        </w:rPr>
        <w:t>1,</w:t>
      </w:r>
      <w:proofErr w:type="gramStart"/>
      <w:r w:rsidR="008611FE">
        <w:rPr>
          <w:vertAlign w:val="superscript"/>
        </w:rPr>
        <w:t>2</w:t>
      </w:r>
      <w:r w:rsidR="008611FE">
        <w:t xml:space="preserve">  Typically</w:t>
      </w:r>
      <w:proofErr w:type="gramEnd"/>
      <w:r w:rsidR="008611FE">
        <w:t>, the center re</w:t>
      </w:r>
      <w:r w:rsidR="00283721">
        <w:t xml:space="preserve">gion of the implant is </w:t>
      </w:r>
      <w:r w:rsidR="007A1374">
        <w:t xml:space="preserve">substantially </w:t>
      </w:r>
      <w:r w:rsidR="00283721">
        <w:t>hotter</w:t>
      </w:r>
      <w:r w:rsidR="007A1374">
        <w:t xml:space="preserve"> compared to the periphery of the implant</w:t>
      </w:r>
      <w:r w:rsidR="00A96BCD">
        <w:t xml:space="preserve">, as the </w:t>
      </w:r>
      <w:proofErr w:type="spellStart"/>
      <w:r w:rsidR="00A96BCD">
        <w:t>isodose</w:t>
      </w:r>
      <w:proofErr w:type="spellEnd"/>
      <w:r w:rsidR="00A96BCD">
        <w:t xml:space="preserve"> lines bu</w:t>
      </w:r>
      <w:r w:rsidR="00761876">
        <w:t>lge out in the center</w:t>
      </w:r>
      <w:r w:rsidR="007A1374">
        <w:t>.</w:t>
      </w:r>
      <w:r w:rsidR="007A1374">
        <w:rPr>
          <w:vertAlign w:val="superscript"/>
        </w:rPr>
        <w:t>3</w:t>
      </w:r>
      <w:r w:rsidR="007A1374">
        <w:t xml:space="preserve">  </w:t>
      </w:r>
      <w:r w:rsidR="00C27A1F">
        <w:t>This system is used for both planar and volume implants.</w:t>
      </w:r>
      <w:r w:rsidR="00C27A1F">
        <w:rPr>
          <w:vertAlign w:val="superscript"/>
        </w:rPr>
        <w:t>2</w:t>
      </w:r>
      <w:r w:rsidR="00A527F8">
        <w:t xml:space="preserve">  </w:t>
      </w:r>
    </w:p>
    <w:p w14:paraId="4B7A9302" w14:textId="4523A032" w:rsidR="00E9424A" w:rsidRDefault="00EF4B2E" w:rsidP="00E9424A">
      <w:pPr>
        <w:ind w:firstLine="720"/>
      </w:pPr>
      <w:r>
        <w:t>The dose distributions for linear Ra-226 sources with varying wall thicknesses and lengths were calculated</w:t>
      </w:r>
      <w:r w:rsidR="006A3355">
        <w:t xml:space="preserve"> by Quimby.</w:t>
      </w:r>
      <w:r w:rsidR="006A3355">
        <w:rPr>
          <w:vertAlign w:val="superscript"/>
        </w:rPr>
        <w:t>3</w:t>
      </w:r>
      <w:r w:rsidR="006A3355">
        <w:t xml:space="preserve">  This data provide</w:t>
      </w:r>
      <w:r w:rsidR="00D26558">
        <w:t>s</w:t>
      </w:r>
      <w:r w:rsidR="006A3355">
        <w:t xml:space="preserve"> the </w:t>
      </w:r>
      <w:r w:rsidR="003F6FEA">
        <w:t>dose rates (</w:t>
      </w:r>
      <w:proofErr w:type="spellStart"/>
      <w:r w:rsidR="006A3355">
        <w:t>cGy</w:t>
      </w:r>
      <w:proofErr w:type="spellEnd"/>
      <w:r w:rsidR="006A3355">
        <w:t>/</w:t>
      </w:r>
      <w:proofErr w:type="spellStart"/>
      <w:r w:rsidR="006A3355">
        <w:t>hr</w:t>
      </w:r>
      <w:proofErr w:type="spellEnd"/>
      <w:r w:rsidR="003F6FEA">
        <w:t>) at points alon</w:t>
      </w:r>
      <w:r w:rsidR="00B6007A">
        <w:t xml:space="preserve">g the away from the axis of a </w:t>
      </w:r>
      <w:r w:rsidR="00FC2785">
        <w:t xml:space="preserve">1-mg </w:t>
      </w:r>
      <w:r w:rsidR="003F6FEA">
        <w:t>radium source.</w:t>
      </w:r>
      <w:r w:rsidR="003362BA">
        <w:rPr>
          <w:vertAlign w:val="superscript"/>
        </w:rPr>
        <w:t>3,4</w:t>
      </w:r>
      <w:r w:rsidR="006A3355">
        <w:t xml:space="preserve">  </w:t>
      </w:r>
      <w:r w:rsidR="002D6649">
        <w:t>The distance used for the “along” table is the distance measured from center</w:t>
      </w:r>
      <w:r w:rsidR="00D96C03">
        <w:t xml:space="preserve"> going parallel with</w:t>
      </w:r>
      <w:r w:rsidR="002D6649">
        <w:t xml:space="preserve"> the source and the distance used for the “away”</w:t>
      </w:r>
      <w:r w:rsidR="00D96C03">
        <w:t xml:space="preserve"> table is distance measured perpendicular to the source</w:t>
      </w:r>
      <w:r w:rsidR="00761876">
        <w:t xml:space="preserve"> to the point in question</w:t>
      </w:r>
      <w:r w:rsidR="00D96C03">
        <w:t>.</w:t>
      </w:r>
      <w:r w:rsidR="00D96C03">
        <w:rPr>
          <w:vertAlign w:val="superscript"/>
        </w:rPr>
        <w:t>4</w:t>
      </w:r>
      <w:r w:rsidR="00D96C03">
        <w:t xml:space="preserve">  </w:t>
      </w:r>
      <w:r w:rsidR="0046653A">
        <w:t xml:space="preserve">To find the dose </w:t>
      </w:r>
      <w:r w:rsidR="00FA413E">
        <w:t xml:space="preserve">rate </w:t>
      </w:r>
      <w:r w:rsidR="00A52A13">
        <w:t xml:space="preserve">to a specified point, the dose rates contributed by the individual sources must be found and added together.  </w:t>
      </w:r>
      <w:r w:rsidR="00817BD5">
        <w:t>T</w:t>
      </w:r>
      <w:r w:rsidR="00513A7A">
        <w:t xml:space="preserve">he distance </w:t>
      </w:r>
      <w:r w:rsidR="0016638B">
        <w:t>along the implant from the center to where the p</w:t>
      </w:r>
      <w:r w:rsidR="00817BD5">
        <w:t>oint in question is located and the distance the point is located away from the implant are used to find th</w:t>
      </w:r>
      <w:r w:rsidR="00E9424A">
        <w:t xml:space="preserve">e </w:t>
      </w:r>
      <w:proofErr w:type="spellStart"/>
      <w:r w:rsidR="00E9424A">
        <w:t>cGy</w:t>
      </w:r>
      <w:proofErr w:type="spellEnd"/>
      <w:r w:rsidR="00E9424A">
        <w:t xml:space="preserve">/mg </w:t>
      </w:r>
      <w:proofErr w:type="spellStart"/>
      <w:r w:rsidR="00817BD5">
        <w:t>hr</w:t>
      </w:r>
      <w:proofErr w:type="spellEnd"/>
      <w:r w:rsidR="00817BD5">
        <w:t xml:space="preserve"> for each source.  This value is multiplied by the mg of the source to find the </w:t>
      </w:r>
      <w:proofErr w:type="spellStart"/>
      <w:r w:rsidR="00817BD5">
        <w:t>cGy</w:t>
      </w:r>
      <w:proofErr w:type="spellEnd"/>
      <w:r w:rsidR="00817BD5">
        <w:t xml:space="preserve">/hr.  These values are added together to get the total dose rate to the point in question.  </w:t>
      </w:r>
      <w:r w:rsidR="00A95E84">
        <w:t xml:space="preserve">Below is an example of </w:t>
      </w:r>
      <w:r w:rsidR="00F6007B">
        <w:t>the ca</w:t>
      </w:r>
      <w:r w:rsidR="00E9424A">
        <w:t xml:space="preserve">lculation to find the dose to a </w:t>
      </w:r>
      <w:r w:rsidR="00F6007B">
        <w:t xml:space="preserve">point </w:t>
      </w:r>
      <w:r w:rsidR="00E9424A">
        <w:t xml:space="preserve">(P) </w:t>
      </w:r>
      <w:r w:rsidR="00F6007B">
        <w:t xml:space="preserve">utilizing the </w:t>
      </w:r>
      <w:proofErr w:type="spellStart"/>
      <w:r w:rsidR="00F6007B">
        <w:t>Quimby</w:t>
      </w:r>
      <w:proofErr w:type="spellEnd"/>
      <w:r w:rsidR="00F6007B">
        <w:t xml:space="preserve"> tables:</w:t>
      </w:r>
    </w:p>
    <w:p w14:paraId="0BF9B203" w14:textId="48DF2CE8" w:rsidR="00F6007B" w:rsidRDefault="00E9424A" w:rsidP="00E9424A">
      <w:r>
        <w:rPr>
          <w:noProof/>
        </w:rPr>
        <w:drawing>
          <wp:inline distT="0" distB="0" distL="0" distR="0" wp14:anchorId="34CAA30A" wp14:editId="17EAE3F8">
            <wp:extent cx="5194935" cy="1932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8-02 at 8.52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32" cy="193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EBD3" w14:textId="77777777" w:rsidR="00E9424A" w:rsidRDefault="00E9424A" w:rsidP="00E9424A"/>
    <w:p w14:paraId="0CC1D04D" w14:textId="58B90F4C" w:rsidR="00E9424A" w:rsidRDefault="00E9424A" w:rsidP="00E9424A">
      <w:r>
        <w:rPr>
          <w:noProof/>
        </w:rPr>
        <w:lastRenderedPageBreak/>
        <w:drawing>
          <wp:inline distT="0" distB="0" distL="0" distR="0" wp14:anchorId="4E8CCD99" wp14:editId="5CF66128">
            <wp:extent cx="5943600" cy="364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8-02 at 8.54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125F" w14:textId="77777777" w:rsidR="00E9424A" w:rsidRDefault="00E9424A" w:rsidP="00E9424A"/>
    <w:p w14:paraId="33E70726" w14:textId="3BF90FC1" w:rsidR="00E9424A" w:rsidRDefault="00E9424A" w:rsidP="00E9424A">
      <w:r>
        <w:t>Source 1 (2 cm along, 2 cm away)</w:t>
      </w:r>
    </w:p>
    <w:p w14:paraId="3B475E4A" w14:textId="5DC3739B" w:rsidR="00E9424A" w:rsidRDefault="00E9424A" w:rsidP="00E9424A">
      <w:r>
        <w:tab/>
        <w:t xml:space="preserve">0.84 </w:t>
      </w:r>
      <w:proofErr w:type="spellStart"/>
      <w:r>
        <w:t>cGy</w:t>
      </w:r>
      <w:proofErr w:type="spellEnd"/>
      <w:r>
        <w:t xml:space="preserve">/mg </w:t>
      </w:r>
      <w:proofErr w:type="spellStart"/>
      <w:r>
        <w:t>hr</w:t>
      </w:r>
      <w:proofErr w:type="spellEnd"/>
      <w:r>
        <w:t xml:space="preserve"> X 20 mg = 16.8 </w:t>
      </w:r>
      <w:proofErr w:type="spellStart"/>
      <w:r>
        <w:t>cGy</w:t>
      </w:r>
      <w:proofErr w:type="spellEnd"/>
      <w:r>
        <w:t>/</w:t>
      </w:r>
      <w:proofErr w:type="spellStart"/>
      <w:r>
        <w:t>hr</w:t>
      </w:r>
      <w:proofErr w:type="spellEnd"/>
    </w:p>
    <w:p w14:paraId="60E0C4AE" w14:textId="77777777" w:rsidR="00E9424A" w:rsidRDefault="00E9424A" w:rsidP="00E9424A"/>
    <w:p w14:paraId="2E36E723" w14:textId="107953CA" w:rsidR="00E9424A" w:rsidRDefault="00E9424A" w:rsidP="00E9424A">
      <w:r>
        <w:t>Source 2 (0 cm along, 2 cm away)</w:t>
      </w:r>
    </w:p>
    <w:p w14:paraId="4A0DDA37" w14:textId="50F367AB" w:rsidR="00E9424A" w:rsidRDefault="00E9424A" w:rsidP="00E9424A">
      <w:r>
        <w:tab/>
        <w:t xml:space="preserve">1.7 </w:t>
      </w:r>
      <w:proofErr w:type="spellStart"/>
      <w:r>
        <w:t>cGy</w:t>
      </w:r>
      <w:proofErr w:type="spellEnd"/>
      <w:r>
        <w:t xml:space="preserve">/mg </w:t>
      </w:r>
      <w:proofErr w:type="spellStart"/>
      <w:r>
        <w:t>hr</w:t>
      </w:r>
      <w:proofErr w:type="spellEnd"/>
      <w:r>
        <w:t xml:space="preserve"> X 10 mg = 17.0 </w:t>
      </w:r>
      <w:proofErr w:type="spellStart"/>
      <w:r>
        <w:t>cGy</w:t>
      </w:r>
      <w:proofErr w:type="spellEnd"/>
      <w:r>
        <w:t>/</w:t>
      </w:r>
      <w:proofErr w:type="spellStart"/>
      <w:r>
        <w:t>hr</w:t>
      </w:r>
      <w:proofErr w:type="spellEnd"/>
    </w:p>
    <w:p w14:paraId="29E62B51" w14:textId="77777777" w:rsidR="00E9424A" w:rsidRDefault="00E9424A" w:rsidP="00E9424A"/>
    <w:p w14:paraId="48D29037" w14:textId="7787B24B" w:rsidR="00E9424A" w:rsidRDefault="00E9424A" w:rsidP="00E9424A">
      <w:r>
        <w:t>Source 3 (2 cm along, 2 cm away)</w:t>
      </w:r>
    </w:p>
    <w:p w14:paraId="4BB846FA" w14:textId="0F4CC41B" w:rsidR="00E9424A" w:rsidRDefault="00E9424A" w:rsidP="00E9424A">
      <w:r>
        <w:tab/>
        <w:t xml:space="preserve">0.84 </w:t>
      </w:r>
      <w:proofErr w:type="spellStart"/>
      <w:r>
        <w:t>cGy</w:t>
      </w:r>
      <w:proofErr w:type="spellEnd"/>
      <w:r>
        <w:t xml:space="preserve">/mg </w:t>
      </w:r>
      <w:proofErr w:type="spellStart"/>
      <w:r>
        <w:t>hr</w:t>
      </w:r>
      <w:proofErr w:type="spellEnd"/>
      <w:r>
        <w:t xml:space="preserve"> X 20 mg = 16.8 </w:t>
      </w:r>
      <w:proofErr w:type="spellStart"/>
      <w:r>
        <w:t>cGy</w:t>
      </w:r>
      <w:proofErr w:type="spellEnd"/>
      <w:r>
        <w:t>/</w:t>
      </w:r>
      <w:proofErr w:type="spellStart"/>
      <w:r>
        <w:t>hr</w:t>
      </w:r>
      <w:proofErr w:type="spellEnd"/>
    </w:p>
    <w:p w14:paraId="7E188FAC" w14:textId="77777777" w:rsidR="00E9424A" w:rsidRDefault="00E9424A" w:rsidP="00E9424A"/>
    <w:p w14:paraId="0F0BF4C9" w14:textId="1EB105B8" w:rsidR="00E9424A" w:rsidRDefault="00E9424A" w:rsidP="00E9424A">
      <w:r>
        <w:t xml:space="preserve">Total dose rate to point P = 50.6 </w:t>
      </w:r>
      <w:proofErr w:type="spellStart"/>
      <w:r>
        <w:t>cGy</w:t>
      </w:r>
      <w:proofErr w:type="spellEnd"/>
      <w:r>
        <w:t>/</w:t>
      </w:r>
      <w:proofErr w:type="spellStart"/>
      <w:r>
        <w:t>hr</w:t>
      </w:r>
      <w:proofErr w:type="spellEnd"/>
    </w:p>
    <w:p w14:paraId="6F29B1AD" w14:textId="77777777" w:rsidR="00F6007B" w:rsidRPr="00DB1010" w:rsidRDefault="00F6007B" w:rsidP="00513A7A">
      <w:pPr>
        <w:ind w:firstLine="720"/>
      </w:pPr>
    </w:p>
    <w:p w14:paraId="66BCE7F9" w14:textId="0BE4DF8C" w:rsidR="00F262E6" w:rsidRDefault="00F262E6">
      <w:r>
        <w:tab/>
      </w:r>
      <w:r w:rsidR="00733C2F">
        <w:t xml:space="preserve">The </w:t>
      </w:r>
      <w:proofErr w:type="spellStart"/>
      <w:r w:rsidR="00733C2F">
        <w:t>Quimby</w:t>
      </w:r>
      <w:proofErr w:type="spellEnd"/>
      <w:r w:rsidR="00733C2F">
        <w:t xml:space="preserve"> system has its disadvantages.  It</w:t>
      </w:r>
      <w:r w:rsidR="00851824">
        <w:t xml:space="preserve"> does not account for scattering and attenuation of photons and does not take into account the filtration at all angles.</w:t>
      </w:r>
      <w:proofErr w:type="gramStart"/>
      <w:r w:rsidR="00851824">
        <w:rPr>
          <w:vertAlign w:val="superscript"/>
        </w:rPr>
        <w:t>1</w:t>
      </w:r>
      <w:r w:rsidR="00851824">
        <w:t xml:space="preserve">  </w:t>
      </w:r>
      <w:r w:rsidR="00DF1DCD">
        <w:t>Because</w:t>
      </w:r>
      <w:proofErr w:type="gramEnd"/>
      <w:r w:rsidR="00DF1DCD">
        <w:t xml:space="preserve"> of this, the </w:t>
      </w:r>
      <w:proofErr w:type="spellStart"/>
      <w:r w:rsidR="00DF1DCD">
        <w:t>Quimby</w:t>
      </w:r>
      <w:proofErr w:type="spellEnd"/>
      <w:r w:rsidR="00DF1DCD">
        <w:t xml:space="preserve"> system should not be used for sources that have energies below 200 </w:t>
      </w:r>
      <w:proofErr w:type="spellStart"/>
      <w:r w:rsidR="00DF1DCD">
        <w:t>keV</w:t>
      </w:r>
      <w:proofErr w:type="spellEnd"/>
      <w:r w:rsidR="00DF1DCD">
        <w:t>.</w:t>
      </w:r>
      <w:r w:rsidR="00CE3B93">
        <w:t xml:space="preserve">  </w:t>
      </w:r>
      <w:r w:rsidR="00A90F6C">
        <w:t xml:space="preserve">The original tables for the </w:t>
      </w:r>
      <w:proofErr w:type="spellStart"/>
      <w:r w:rsidR="00A90F6C">
        <w:t>Quimby</w:t>
      </w:r>
      <w:proofErr w:type="spellEnd"/>
      <w:r w:rsidR="00A90F6C">
        <w:t xml:space="preserve"> system used the exposure rate constant of 8.4 R-</w:t>
      </w:r>
      <w:r w:rsidR="00A90F6C" w:rsidRPr="00A90F6C">
        <w:t>cm</w:t>
      </w:r>
      <w:r w:rsidR="00A90F6C">
        <w:rPr>
          <w:vertAlign w:val="superscript"/>
        </w:rPr>
        <w:t>2</w:t>
      </w:r>
      <w:r w:rsidR="00A90F6C">
        <w:t>/mg-h for Ra-226 as opposed to current value of 8.25 R-cm</w:t>
      </w:r>
      <w:r w:rsidR="00A90F6C">
        <w:rPr>
          <w:vertAlign w:val="superscript"/>
        </w:rPr>
        <w:t>2</w:t>
      </w:r>
      <w:r w:rsidR="00A90F6C">
        <w:t>/mg-h.</w:t>
      </w:r>
      <w:proofErr w:type="gramStart"/>
      <w:r w:rsidR="00A90F6C">
        <w:rPr>
          <w:vertAlign w:val="superscript"/>
        </w:rPr>
        <w:t>2</w:t>
      </w:r>
      <w:r w:rsidR="00A90F6C">
        <w:t xml:space="preserve">  </w:t>
      </w:r>
      <w:r w:rsidR="00CE3B93" w:rsidRPr="00A90F6C">
        <w:t>The</w:t>
      </w:r>
      <w:proofErr w:type="gramEnd"/>
      <w:r w:rsidR="00CE3B93">
        <w:t xml:space="preserve"> </w:t>
      </w:r>
      <w:proofErr w:type="spellStart"/>
      <w:r w:rsidR="00CE3B93">
        <w:t>Quimby</w:t>
      </w:r>
      <w:proofErr w:type="spellEnd"/>
      <w:r w:rsidR="00CE3B93">
        <w:t xml:space="preserve"> system has since been adapted to use computer calcu</w:t>
      </w:r>
      <w:r w:rsidR="009C2900">
        <w:t>lated tables that account for oblique filtration and present</w:t>
      </w:r>
      <w:r w:rsidR="00127801">
        <w:t>s</w:t>
      </w:r>
      <w:r w:rsidR="009C2900">
        <w:t xml:space="preserve"> the values in modern units.</w:t>
      </w:r>
      <w:r w:rsidR="009C2900">
        <w:rPr>
          <w:vertAlign w:val="superscript"/>
        </w:rPr>
        <w:t>3</w:t>
      </w:r>
      <w:r w:rsidR="00CC7BE8">
        <w:t xml:space="preserve">  This is referred to as the Memorial system.</w:t>
      </w:r>
    </w:p>
    <w:p w14:paraId="137DFC3F" w14:textId="77777777" w:rsidR="00AE0676" w:rsidRDefault="00AE0676"/>
    <w:p w14:paraId="6342B65B" w14:textId="5DC9C625" w:rsidR="00AE0676" w:rsidRPr="00B63B7A" w:rsidRDefault="00AE0676">
      <w:pPr>
        <w:rPr>
          <w:b/>
        </w:rPr>
      </w:pPr>
      <w:r w:rsidRPr="00B63B7A">
        <w:rPr>
          <w:b/>
        </w:rPr>
        <w:t>References</w:t>
      </w:r>
    </w:p>
    <w:p w14:paraId="115AA71D" w14:textId="06199F38" w:rsidR="00AE0676" w:rsidRPr="00112FBB" w:rsidRDefault="009B02C4" w:rsidP="009B02C4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B02C4">
        <w:rPr>
          <w:rFonts w:eastAsia="Times New Roman" w:cs="Times New Roman"/>
        </w:rPr>
        <w:t xml:space="preserve">McDermott PN, Orton CG. </w:t>
      </w:r>
      <w:r w:rsidRPr="009B02C4">
        <w:rPr>
          <w:rFonts w:eastAsia="Times New Roman" w:cs="Times New Roman"/>
          <w:i/>
          <w:iCs/>
        </w:rPr>
        <w:t>The physics &amp; technology of radiation therapy</w:t>
      </w:r>
      <w:r w:rsidRPr="009B02C4">
        <w:rPr>
          <w:rFonts w:eastAsia="Times New Roman" w:cs="Times New Roman"/>
        </w:rPr>
        <w:t xml:space="preserve">. Madison, WI: </w:t>
      </w:r>
      <w:r w:rsidRPr="00112FBB">
        <w:rPr>
          <w:rFonts w:eastAsia="Times New Roman" w:cs="Times New Roman"/>
        </w:rPr>
        <w:t>Medical Physics Publishing; 2010</w:t>
      </w:r>
      <w:r w:rsidR="009C2900" w:rsidRPr="00112FBB">
        <w:rPr>
          <w:rFonts w:eastAsia="Times New Roman" w:cs="Times New Roman"/>
        </w:rPr>
        <w:t>:16-24,16-25</w:t>
      </w:r>
      <w:r w:rsidRPr="00112FBB">
        <w:rPr>
          <w:rFonts w:eastAsia="Times New Roman" w:cs="Times New Roman"/>
        </w:rPr>
        <w:t xml:space="preserve">. </w:t>
      </w:r>
    </w:p>
    <w:p w14:paraId="258E7BA6" w14:textId="41212E20" w:rsidR="009C2900" w:rsidRPr="00112FBB" w:rsidRDefault="00112FBB" w:rsidP="00112FB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12FBB">
        <w:rPr>
          <w:rFonts w:eastAsia="Times New Roman" w:cs="Times New Roman"/>
        </w:rPr>
        <w:t xml:space="preserve">Khan FM, Gibbons JP. </w:t>
      </w:r>
      <w:r w:rsidRPr="00112FBB">
        <w:rPr>
          <w:rFonts w:eastAsia="Times New Roman" w:cs="Times New Roman"/>
          <w:i/>
          <w:iCs/>
        </w:rPr>
        <w:t>Khans the physics of radiation therapy</w:t>
      </w:r>
      <w:r w:rsidRPr="00112FBB">
        <w:rPr>
          <w:rFonts w:eastAsia="Times New Roman" w:cs="Times New Roman"/>
        </w:rPr>
        <w:t xml:space="preserve">. 5th ed. Philadelphia: Wolters Kluwer Health; 2014. </w:t>
      </w:r>
    </w:p>
    <w:p w14:paraId="662A6864" w14:textId="26CA1807" w:rsidR="009C2900" w:rsidRDefault="00946B58" w:rsidP="00550A1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Bentel</w:t>
      </w:r>
      <w:proofErr w:type="spellEnd"/>
      <w:r>
        <w:rPr>
          <w:rFonts w:eastAsia="Times New Roman" w:cs="Times New Roman"/>
        </w:rPr>
        <w:t xml:space="preserve"> GC. </w:t>
      </w:r>
      <w:r>
        <w:rPr>
          <w:rFonts w:eastAsia="Times New Roman" w:cs="Times New Roman"/>
          <w:i/>
        </w:rPr>
        <w:t>Radiation Therapy Planning.</w:t>
      </w:r>
      <w:r>
        <w:rPr>
          <w:rFonts w:eastAsia="Times New Roman" w:cs="Times New Roman"/>
        </w:rPr>
        <w:t xml:space="preserve"> 2</w:t>
      </w:r>
      <w:r w:rsidRPr="00946B58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ed. N</w:t>
      </w:r>
      <w:bookmarkStart w:id="0" w:name="_GoBack"/>
      <w:bookmarkEnd w:id="0"/>
      <w:r>
        <w:rPr>
          <w:rFonts w:eastAsia="Times New Roman" w:cs="Times New Roman"/>
        </w:rPr>
        <w:t>ew York, NY: McGraw-Hill; 1992:544-549.</w:t>
      </w:r>
    </w:p>
    <w:p w14:paraId="0998E41B" w14:textId="794F306C" w:rsidR="007D0F09" w:rsidRPr="00761876" w:rsidRDefault="00130552" w:rsidP="0013055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>Lenards</w:t>
      </w:r>
      <w:proofErr w:type="spellEnd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 xml:space="preserve"> N, </w:t>
      </w:r>
      <w:proofErr w:type="spellStart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>Berner</w:t>
      </w:r>
      <w:proofErr w:type="spellEnd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 xml:space="preserve"> P, </w:t>
      </w:r>
      <w:proofErr w:type="spellStart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>Berner</w:t>
      </w:r>
      <w:proofErr w:type="spellEnd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 xml:space="preserve"> P, Schmidt K. </w:t>
      </w:r>
      <w:r w:rsidRPr="00761876">
        <w:rPr>
          <w:rFonts w:eastAsia="Times New Roman" w:cs="Times New Roman"/>
          <w:i/>
          <w:iCs/>
          <w:color w:val="353535"/>
          <w:bdr w:val="none" w:sz="0" w:space="0" w:color="auto" w:frame="1"/>
        </w:rPr>
        <w:t xml:space="preserve">LDR </w:t>
      </w:r>
      <w:proofErr w:type="spellStart"/>
      <w:r w:rsidRPr="00761876">
        <w:rPr>
          <w:rFonts w:eastAsia="Times New Roman" w:cs="Times New Roman"/>
          <w:i/>
          <w:iCs/>
          <w:color w:val="353535"/>
          <w:bdr w:val="none" w:sz="0" w:space="0" w:color="auto" w:frame="1"/>
        </w:rPr>
        <w:t>Intracavitary</w:t>
      </w:r>
      <w:proofErr w:type="spellEnd"/>
      <w:r w:rsidRPr="00761876">
        <w:rPr>
          <w:rFonts w:eastAsia="Times New Roman" w:cs="Times New Roman"/>
          <w:i/>
          <w:iCs/>
          <w:color w:val="353535"/>
          <w:bdr w:val="none" w:sz="0" w:space="0" w:color="auto" w:frame="1"/>
        </w:rPr>
        <w:t xml:space="preserve"> Implants.</w:t>
      </w:r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> [</w:t>
      </w:r>
      <w:proofErr w:type="spellStart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>Softchalk</w:t>
      </w:r>
      <w:proofErr w:type="spellEnd"/>
      <w:r w:rsidRPr="00761876">
        <w:rPr>
          <w:rFonts w:eastAsia="Times New Roman" w:cs="Times New Roman"/>
          <w:color w:val="353535"/>
          <w:bdr w:val="none" w:sz="0" w:space="0" w:color="auto" w:frame="1"/>
          <w:shd w:val="clear" w:color="auto" w:fill="FAFAFA"/>
        </w:rPr>
        <w:t>]. La Crosse, WI: UW-L Medical Dosimetry Program; 2016. </w:t>
      </w:r>
      <w:r w:rsidRPr="00761876">
        <w:rPr>
          <w:rFonts w:eastAsia="Times New Roman" w:cs="Times New Roman"/>
          <w:color w:val="353535"/>
          <w:shd w:val="clear" w:color="auto" w:fill="FAFAFA"/>
        </w:rPr>
        <w:t> </w:t>
      </w:r>
    </w:p>
    <w:sectPr w:rsidR="007D0F09" w:rsidRPr="00761876" w:rsidSect="00EE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5D1F"/>
    <w:multiLevelType w:val="hybridMultilevel"/>
    <w:tmpl w:val="2F66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3F6E"/>
    <w:multiLevelType w:val="hybridMultilevel"/>
    <w:tmpl w:val="8DF0BA08"/>
    <w:lvl w:ilvl="0" w:tplc="808A8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05507"/>
    <w:multiLevelType w:val="hybridMultilevel"/>
    <w:tmpl w:val="852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C"/>
    <w:rsid w:val="000132A9"/>
    <w:rsid w:val="000D6557"/>
    <w:rsid w:val="000F7315"/>
    <w:rsid w:val="00112FBB"/>
    <w:rsid w:val="00127801"/>
    <w:rsid w:val="00130552"/>
    <w:rsid w:val="00160997"/>
    <w:rsid w:val="0016638B"/>
    <w:rsid w:val="001C33E4"/>
    <w:rsid w:val="0020654C"/>
    <w:rsid w:val="00225E5F"/>
    <w:rsid w:val="00283721"/>
    <w:rsid w:val="002D6649"/>
    <w:rsid w:val="003362BA"/>
    <w:rsid w:val="003F6FEA"/>
    <w:rsid w:val="00436A60"/>
    <w:rsid w:val="0044622F"/>
    <w:rsid w:val="0046653A"/>
    <w:rsid w:val="004F20B2"/>
    <w:rsid w:val="00513A7A"/>
    <w:rsid w:val="00550A12"/>
    <w:rsid w:val="006006A9"/>
    <w:rsid w:val="00636FE9"/>
    <w:rsid w:val="00691BF7"/>
    <w:rsid w:val="006A3355"/>
    <w:rsid w:val="006A7700"/>
    <w:rsid w:val="006D788D"/>
    <w:rsid w:val="00733C2F"/>
    <w:rsid w:val="00745ECD"/>
    <w:rsid w:val="00761876"/>
    <w:rsid w:val="00777A1C"/>
    <w:rsid w:val="007A1374"/>
    <w:rsid w:val="007C450B"/>
    <w:rsid w:val="007D0F09"/>
    <w:rsid w:val="007E3A9D"/>
    <w:rsid w:val="00817BD5"/>
    <w:rsid w:val="00851824"/>
    <w:rsid w:val="008611FE"/>
    <w:rsid w:val="008A0BD4"/>
    <w:rsid w:val="008D02FF"/>
    <w:rsid w:val="00907C3A"/>
    <w:rsid w:val="00933638"/>
    <w:rsid w:val="00946B58"/>
    <w:rsid w:val="00953378"/>
    <w:rsid w:val="009B02C4"/>
    <w:rsid w:val="009C2900"/>
    <w:rsid w:val="00A525C2"/>
    <w:rsid w:val="00A527F8"/>
    <w:rsid w:val="00A52A13"/>
    <w:rsid w:val="00A77DB0"/>
    <w:rsid w:val="00A90F6C"/>
    <w:rsid w:val="00A95E84"/>
    <w:rsid w:val="00A96BCD"/>
    <w:rsid w:val="00AA03C7"/>
    <w:rsid w:val="00AA7601"/>
    <w:rsid w:val="00AA7BCF"/>
    <w:rsid w:val="00AD0151"/>
    <w:rsid w:val="00AE0676"/>
    <w:rsid w:val="00B55CE9"/>
    <w:rsid w:val="00B6007A"/>
    <w:rsid w:val="00B63B7A"/>
    <w:rsid w:val="00BC611F"/>
    <w:rsid w:val="00BD7161"/>
    <w:rsid w:val="00C2138A"/>
    <w:rsid w:val="00C27A1F"/>
    <w:rsid w:val="00C65097"/>
    <w:rsid w:val="00CC7BE8"/>
    <w:rsid w:val="00CE3B93"/>
    <w:rsid w:val="00D26558"/>
    <w:rsid w:val="00D77634"/>
    <w:rsid w:val="00D90B1C"/>
    <w:rsid w:val="00D96C03"/>
    <w:rsid w:val="00DB1010"/>
    <w:rsid w:val="00DF1DCD"/>
    <w:rsid w:val="00E30B1C"/>
    <w:rsid w:val="00E9424A"/>
    <w:rsid w:val="00ED04E0"/>
    <w:rsid w:val="00EE0B28"/>
    <w:rsid w:val="00EF4B2E"/>
    <w:rsid w:val="00F262E6"/>
    <w:rsid w:val="00F358A0"/>
    <w:rsid w:val="00F46ED3"/>
    <w:rsid w:val="00F6007B"/>
    <w:rsid w:val="00F64A21"/>
    <w:rsid w:val="00FA413E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63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Murray</dc:creator>
  <cp:keywords/>
  <dc:description/>
  <cp:lastModifiedBy>Alexandra Murray</cp:lastModifiedBy>
  <cp:revision>56</cp:revision>
  <dcterms:created xsi:type="dcterms:W3CDTF">2017-08-01T22:35:00Z</dcterms:created>
  <dcterms:modified xsi:type="dcterms:W3CDTF">2017-08-03T02:02:00Z</dcterms:modified>
</cp:coreProperties>
</file>